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rationale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conscientious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sophisticated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category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acquisition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[00:05:30]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accommodation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mathematics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[00:06:30]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vocabulary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outlined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[00:07:30]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gestures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scaffolds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[00:08:30]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Ceedar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[00:09:30]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practitioners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acronym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[00:10:30]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illuminate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[00:11:30]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demonstrate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Pioneered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[00:12:30]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implementation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[00:13:30]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[00:14:00]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UDL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[00:14:30]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Zabala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indelible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HLP #19 Use Assistive and Instructional Technologies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Oct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